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firstLine="0" w:firstLineChars="0"/>
        <w:jc w:val="center"/>
        <w:rPr>
          <w:rStyle w:val="4"/>
          <w:rFonts w:hint="eastAsia" w:ascii="黑体" w:hAnsi="黑体" w:eastAsia="黑体" w:cs="黑体"/>
          <w:b/>
          <w:i w:val="0"/>
          <w:caps w:val="0"/>
          <w:color w:val="000000"/>
          <w:spacing w:val="0"/>
          <w:sz w:val="36"/>
          <w:szCs w:val="36"/>
          <w:lang w:val="en-US" w:eastAsia="zh-CN"/>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firstLine="0" w:firstLineChars="0"/>
        <w:jc w:val="center"/>
        <w:rPr>
          <w:rStyle w:val="4"/>
          <w:rFonts w:hint="eastAsia" w:ascii="黑体" w:hAnsi="黑体" w:eastAsia="黑体" w:cs="黑体"/>
          <w:b w:val="0"/>
          <w:bCs/>
          <w:i w:val="0"/>
          <w:caps w:val="0"/>
          <w:color w:val="000000"/>
          <w:spacing w:val="0"/>
          <w:sz w:val="36"/>
          <w:szCs w:val="36"/>
          <w:lang w:val="en-US" w:eastAsia="zh-CN"/>
        </w:rPr>
      </w:pPr>
      <w:r>
        <w:rPr>
          <w:rStyle w:val="4"/>
          <w:rFonts w:hint="eastAsia" w:ascii="黑体" w:hAnsi="黑体" w:eastAsia="黑体" w:cs="黑体"/>
          <w:b w:val="0"/>
          <w:bCs/>
          <w:i w:val="0"/>
          <w:caps w:val="0"/>
          <w:color w:val="000000"/>
          <w:spacing w:val="0"/>
          <w:sz w:val="36"/>
          <w:szCs w:val="36"/>
          <w:lang w:val="en-US" w:eastAsia="zh-CN"/>
        </w:rPr>
        <w:t>中国驻匈牙利使馆海外远程视频公证办证须知</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firstLine="0" w:firstLineChars="0"/>
        <w:jc w:val="center"/>
        <w:rPr>
          <w:rFonts w:hint="eastAsia" w:ascii="仿宋" w:hAnsi="仿宋" w:eastAsia="仿宋" w:cs="仿宋"/>
          <w:b w:val="0"/>
          <w:i w:val="0"/>
          <w:caps w:val="0"/>
          <w:color w:val="000000"/>
          <w:spacing w:val="0"/>
          <w:sz w:val="32"/>
          <w:szCs w:val="32"/>
          <w:lang w:val="en-US" w:eastAsia="zh-CN"/>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firstLine="0" w:firstLineChars="0"/>
        <w:jc w:val="both"/>
        <w:rPr>
          <w:rFonts w:hint="eastAsia" w:ascii="仿宋" w:hAnsi="仿宋" w:eastAsia="仿宋" w:cs="仿宋"/>
          <w:b w:val="0"/>
          <w:i w:val="0"/>
          <w:caps w:val="0"/>
          <w:color w:val="000000"/>
          <w:spacing w:val="0"/>
          <w:sz w:val="32"/>
          <w:szCs w:val="32"/>
          <w:lang w:val="en-US" w:eastAsia="zh-CN"/>
        </w:rPr>
      </w:pPr>
      <w:r>
        <w:rPr>
          <w:rStyle w:val="4"/>
          <w:rFonts w:hint="eastAsia" w:ascii="仿宋" w:hAnsi="仿宋" w:eastAsia="仿宋" w:cs="仿宋"/>
          <w:b/>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val="en-US" w:eastAsia="zh-CN"/>
        </w:rPr>
        <w:t>为深入贯彻落实党中央、国务院“放管服”改革决策部署，推进海外中国公民办理公证“最多跑一次”，中国驻匈牙利使馆与国内公证机构合作，推出海外远程视频公证办证</w:t>
      </w:r>
      <w:bookmarkStart w:id="0" w:name="_GoBack"/>
      <w:bookmarkEnd w:id="0"/>
      <w:r>
        <w:rPr>
          <w:rFonts w:hint="eastAsia" w:ascii="仿宋" w:hAnsi="仿宋" w:eastAsia="仿宋" w:cs="仿宋"/>
          <w:b w:val="0"/>
          <w:i w:val="0"/>
          <w:caps w:val="0"/>
          <w:color w:val="000000"/>
          <w:spacing w:val="0"/>
          <w:sz w:val="32"/>
          <w:szCs w:val="32"/>
          <w:lang w:val="en-US" w:eastAsia="zh-CN"/>
        </w:rPr>
        <w:t>，用信息化手段便利海外中国公民办理公证业务，通过“网上办、就近办、一次办”，为申请人提供高效便捷、普惠均等的公证服务。在申办海外远程视频公证前，请认真阅读本须知的全部内容：</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both"/>
        <w:rPr>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一、申办条件</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（一）具有中华人民共和国国籍的大陆地区居民</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（二）在</w:t>
      </w:r>
      <w:r>
        <w:rPr>
          <w:rFonts w:hint="eastAsia" w:ascii="仿宋" w:hAnsi="仿宋" w:eastAsia="仿宋" w:cs="仿宋"/>
          <w:b w:val="0"/>
          <w:i w:val="0"/>
          <w:caps w:val="0"/>
          <w:color w:val="000000"/>
          <w:spacing w:val="0"/>
          <w:sz w:val="32"/>
          <w:szCs w:val="32"/>
          <w:lang w:eastAsia="zh-CN"/>
        </w:rPr>
        <w:t>匈牙利</w:t>
      </w:r>
      <w:r>
        <w:rPr>
          <w:rFonts w:hint="eastAsia" w:ascii="仿宋" w:hAnsi="仿宋" w:eastAsia="仿宋" w:cs="仿宋"/>
          <w:b w:val="0"/>
          <w:i w:val="0"/>
          <w:caps w:val="0"/>
          <w:color w:val="000000"/>
          <w:spacing w:val="0"/>
          <w:sz w:val="32"/>
          <w:szCs w:val="32"/>
        </w:rPr>
        <w:t>长期居住</w:t>
      </w:r>
      <w:r>
        <w:rPr>
          <w:rFonts w:hint="eastAsia" w:ascii="仿宋" w:hAnsi="仿宋" w:eastAsia="仿宋" w:cs="仿宋"/>
          <w:b w:val="0"/>
          <w:i w:val="0"/>
          <w:caps w:val="0"/>
          <w:color w:val="000000"/>
          <w:spacing w:val="0"/>
          <w:sz w:val="32"/>
          <w:szCs w:val="32"/>
          <w:lang w:eastAsia="zh-CN"/>
        </w:rPr>
        <w:t>，持有匈牙利居留卡；</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（三）公证书拟在国内使用，公证事项系使馆无法办理的，且当事人自愿选择海外远程视频公证</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四）可办理海外远程视频公证的事项包括：声明、委托（包括涉及房产、股权、继承等重大财产类事务）、婚姻状况、国籍、姓名、出生、死亡、亲属关系、无犯罪记录、经历、学历、职业资格证书、有法律意义文书上的签名、印鉴属实、文本相符、证书（执照）公证等。最终是否可予办理由国内公证机构决定</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（五）不违反相关法律法规及其他禁止性规定。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有下列情形之一的，公证机构不予办理海外远程视频公证：</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（一）无民事行为能力人或者限制民事行为能力人没有监护人代理申请办理海外远程视频公证的</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（二）当事人与申请公证的事项没有利害关系的；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（三）当事人之间对申请海外远程视频公证的事项有争议的；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（四）当事人虚构、隐瞒事实，或者提供虚假证明材料的；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（五）当事人提供的证明材料不充分又无法补充，或者拒绝补充证明材料的；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（六）申请海外远程视频公证的事项不真实、不合法的；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（七）申请海外远程视频公证的事项违背社会公德的；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（八）当事人拒绝按规定交纳公证费的；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（九）其他不适合办理海外远程视频公证的情形</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4"/>
          <w:rFonts w:hint="eastAsia" w:ascii="黑体" w:hAnsi="黑体" w:eastAsia="黑体" w:cs="黑体"/>
          <w:b/>
          <w:i w:val="0"/>
          <w:caps w:val="0"/>
          <w:color w:val="000000"/>
          <w:spacing w:val="0"/>
          <w:sz w:val="32"/>
          <w:szCs w:val="32"/>
          <w:lang w:eastAsia="zh-CN"/>
        </w:rPr>
      </w:pPr>
      <w:r>
        <w:rPr>
          <w:rStyle w:val="4"/>
          <w:rFonts w:hint="eastAsia" w:ascii="黑体" w:hAnsi="黑体" w:eastAsia="黑体" w:cs="黑体"/>
          <w:b/>
          <w:i w:val="0"/>
          <w:caps w:val="0"/>
          <w:color w:val="000000"/>
          <w:spacing w:val="0"/>
          <w:sz w:val="32"/>
          <w:szCs w:val="32"/>
          <w:lang w:val="en-US" w:eastAsia="zh-CN"/>
        </w:rPr>
        <w:t xml:space="preserve">    </w:t>
      </w:r>
      <w:r>
        <w:rPr>
          <w:rStyle w:val="4"/>
          <w:rFonts w:hint="eastAsia" w:ascii="黑体" w:hAnsi="黑体" w:eastAsia="黑体" w:cs="黑体"/>
          <w:b w:val="0"/>
          <w:bCs/>
          <w:i w:val="0"/>
          <w:caps w:val="0"/>
          <w:color w:val="000000"/>
          <w:spacing w:val="0"/>
          <w:sz w:val="32"/>
          <w:szCs w:val="32"/>
        </w:rPr>
        <w:t>二、</w:t>
      </w:r>
      <w:r>
        <w:rPr>
          <w:rStyle w:val="4"/>
          <w:rFonts w:hint="eastAsia" w:ascii="黑体" w:hAnsi="黑体" w:eastAsia="黑体" w:cs="黑体"/>
          <w:b w:val="0"/>
          <w:bCs/>
          <w:i w:val="0"/>
          <w:caps w:val="0"/>
          <w:color w:val="000000"/>
          <w:spacing w:val="0"/>
          <w:sz w:val="32"/>
          <w:szCs w:val="32"/>
          <w:lang w:eastAsia="zh-CN"/>
        </w:rPr>
        <w:t>申办流程</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（一）当事人自行联系国内公证机构</w:t>
      </w:r>
      <w:r>
        <w:rPr>
          <w:rFonts w:hint="eastAsia" w:ascii="仿宋" w:hAnsi="仿宋" w:eastAsia="仿宋" w:cs="仿宋"/>
          <w:b w:val="0"/>
          <w:i w:val="0"/>
          <w:caps w:val="0"/>
          <w:color w:val="000000"/>
          <w:spacing w:val="0"/>
          <w:sz w:val="32"/>
          <w:szCs w:val="32"/>
          <w:lang w:eastAsia="zh-CN"/>
        </w:rPr>
        <w:t>（名单请参照</w:t>
      </w:r>
      <w:r>
        <w:rPr>
          <w:rFonts w:hint="eastAsia" w:ascii="仿宋" w:hAnsi="仿宋" w:eastAsia="仿宋" w:cs="仿宋"/>
          <w:b w:val="0"/>
          <w:i w:val="0"/>
          <w:caps w:val="0"/>
          <w:color w:val="000000"/>
          <w:spacing w:val="0"/>
          <w:sz w:val="32"/>
          <w:szCs w:val="32"/>
        </w:rPr>
        <w:t>关于</w:t>
      </w:r>
      <w:r>
        <w:rPr>
          <w:rFonts w:hint="eastAsia" w:ascii="仿宋" w:hAnsi="仿宋" w:eastAsia="仿宋" w:cs="仿宋"/>
          <w:b w:val="0"/>
          <w:i w:val="0"/>
          <w:caps w:val="0"/>
          <w:color w:val="000000"/>
          <w:spacing w:val="0"/>
          <w:sz w:val="32"/>
          <w:szCs w:val="32"/>
          <w:lang w:eastAsia="zh-CN"/>
        </w:rPr>
        <w:t>中国领事服务网《关于</w:t>
      </w:r>
      <w:r>
        <w:rPr>
          <w:rFonts w:hint="eastAsia" w:ascii="仿宋" w:hAnsi="仿宋" w:eastAsia="仿宋" w:cs="仿宋"/>
          <w:b w:val="0"/>
          <w:i w:val="0"/>
          <w:caps w:val="0"/>
          <w:color w:val="000000"/>
          <w:spacing w:val="0"/>
          <w:sz w:val="32"/>
          <w:szCs w:val="32"/>
        </w:rPr>
        <w:t>公布海外远程视频公证试点驻外使领馆与公证机构名单的通知</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按照公证机构的要求准备并上传</w:t>
      </w:r>
      <w:r>
        <w:rPr>
          <w:rFonts w:hint="eastAsia" w:ascii="仿宋" w:hAnsi="仿宋" w:eastAsia="仿宋" w:cs="仿宋"/>
          <w:b w:val="0"/>
          <w:i w:val="0"/>
          <w:caps w:val="0"/>
          <w:color w:val="000000"/>
          <w:spacing w:val="0"/>
          <w:sz w:val="32"/>
          <w:szCs w:val="32"/>
          <w:lang w:eastAsia="zh-CN"/>
        </w:rPr>
        <w:t>相关</w:t>
      </w:r>
      <w:r>
        <w:rPr>
          <w:rFonts w:hint="eastAsia" w:ascii="仿宋" w:hAnsi="仿宋" w:eastAsia="仿宋" w:cs="仿宋"/>
          <w:b w:val="0"/>
          <w:i w:val="0"/>
          <w:caps w:val="0"/>
          <w:color w:val="000000"/>
          <w:spacing w:val="0"/>
          <w:sz w:val="32"/>
          <w:szCs w:val="32"/>
        </w:rPr>
        <w:t>材料</w:t>
      </w:r>
      <w:r>
        <w:rPr>
          <w:rFonts w:hint="eastAsia" w:ascii="仿宋" w:hAnsi="仿宋" w:eastAsia="仿宋" w:cs="仿宋"/>
          <w:b w:val="0"/>
          <w:i w:val="0"/>
          <w:caps w:val="0"/>
          <w:color w:val="000000"/>
          <w:spacing w:val="0"/>
          <w:sz w:val="32"/>
          <w:szCs w:val="32"/>
          <w:lang w:eastAsia="zh-CN"/>
        </w:rPr>
        <w:t>。公证机构名单链接：</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left"/>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21"/>
          <w:szCs w:val="21"/>
          <w:lang w:eastAsia="zh-CN"/>
        </w:rPr>
        <w:t>http://cs.mfa.gov.cn/gyls/lsgz/fwxx/202205/t20220507_10683082.shtml</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hint="eastAsia" w:ascii="微软雅黑" w:hAnsi="微软雅黑" w:eastAsia="仿宋" w:cs="微软雅黑"/>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（二）</w:t>
      </w:r>
      <w:r>
        <w:rPr>
          <w:rFonts w:hint="eastAsia" w:ascii="仿宋" w:hAnsi="仿宋" w:eastAsia="仿宋" w:cs="仿宋"/>
          <w:b w:val="0"/>
          <w:i w:val="0"/>
          <w:caps w:val="0"/>
          <w:color w:val="000000"/>
          <w:spacing w:val="0"/>
          <w:sz w:val="32"/>
          <w:szCs w:val="32"/>
          <w:lang w:eastAsia="zh-CN"/>
        </w:rPr>
        <w:t>完成申请流程后，请</w:t>
      </w:r>
      <w:r>
        <w:rPr>
          <w:rFonts w:hint="eastAsia" w:ascii="仿宋" w:hAnsi="仿宋" w:eastAsia="仿宋" w:cs="仿宋"/>
          <w:b w:val="0"/>
          <w:i w:val="0"/>
          <w:caps w:val="0"/>
          <w:color w:val="000000"/>
          <w:spacing w:val="0"/>
          <w:sz w:val="32"/>
          <w:szCs w:val="32"/>
        </w:rPr>
        <w:t>保持手机畅通。如公证机构受理当事人的公证申请，将与使馆商定办理时间，并及时通知当事人到使馆办理有关公证</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（三）当事人在约定时间本人亲自</w:t>
      </w:r>
      <w:r>
        <w:rPr>
          <w:rFonts w:hint="eastAsia" w:ascii="仿宋" w:hAnsi="仿宋" w:eastAsia="仿宋" w:cs="仿宋"/>
          <w:b w:val="0"/>
          <w:i w:val="0"/>
          <w:caps w:val="0"/>
          <w:color w:val="000000"/>
          <w:spacing w:val="0"/>
          <w:sz w:val="32"/>
          <w:szCs w:val="32"/>
          <w:lang w:eastAsia="zh-CN"/>
        </w:rPr>
        <w:t>到馆，</w:t>
      </w:r>
      <w:r>
        <w:rPr>
          <w:rFonts w:hint="eastAsia" w:ascii="仿宋" w:hAnsi="仿宋" w:eastAsia="仿宋" w:cs="仿宋"/>
          <w:b w:val="0"/>
          <w:i w:val="0"/>
          <w:caps w:val="0"/>
          <w:color w:val="000000"/>
          <w:spacing w:val="0"/>
          <w:sz w:val="32"/>
          <w:szCs w:val="32"/>
        </w:rPr>
        <w:t>在使馆工作人员协助下，当事人与公证机构视频连线完成核验身份等公证程序，商定领取公证书方式、办理进度查询等事项</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（四）当事人按照公证收费标准的规定，直接向公证机构交纳公证费及其他可能产生的费用（公证书翻译费、申请公证的文书翻译费、副本费等）。使馆不就海外远程视频公证收取任何费用</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（五）公证程序结束后，当事人通过使馆将视频连线中公证机构审核过的材料邮寄当事人指定的国内收件人，邮费由当事人承担</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（六）公证机构收到邮寄材料审核无误后，按照有关程序出具公证书。</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三、相关规定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（一）当事人向国内公证机构申办公证，应如实告知、填写所申办公证事项的有关情况，所上传的证明材料必须真实、合法、充分</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二）对所填写的与公证事项有关的信息，以及所上传的证明材料，公证机构将及时通过政务信息资源共享的形式依法进行核实。如因当事人不如实填写申请公证事项的信息、上传的证明材料不真实、不合法，或因条件所限无法核实到有关信息的，公证机构将不予办理</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（三）当事人根据邮寄承运部门关于邮寄过程中发生材料丢失，损毁等赔偿条款自愿投保，如发生纠纷应当由当事人自行与承运部门协商解决</w:t>
      </w:r>
      <w:r>
        <w:rPr>
          <w:rFonts w:hint="eastAsia" w:ascii="仿宋" w:hAnsi="仿宋" w:eastAsia="仿宋" w:cs="仿宋"/>
          <w:b w:val="0"/>
          <w:i w:val="0"/>
          <w:caps w:val="0"/>
          <w:color w:val="000000"/>
          <w:spacing w:val="0"/>
          <w:sz w:val="32"/>
          <w:szCs w:val="32"/>
          <w:lang w:eastAsia="zh-CN"/>
        </w:rPr>
        <w:t>；</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微软雅黑" w:hAnsi="微软雅黑" w:eastAsia="微软雅黑" w:cs="微软雅黑"/>
          <w:i w:val="0"/>
          <w:caps w:val="0"/>
          <w:color w:val="000000"/>
          <w:spacing w:val="0"/>
          <w:sz w:val="32"/>
          <w:szCs w:val="32"/>
        </w:rPr>
      </w:pPr>
      <w:r>
        <w:rPr>
          <w:rFonts w:hint="eastAsia" w:ascii="仿宋" w:hAnsi="仿宋" w:eastAsia="仿宋" w:cs="仿宋"/>
          <w:b w:val="0"/>
          <w:i w:val="0"/>
          <w:caps w:val="0"/>
          <w:color w:val="000000"/>
          <w:spacing w:val="0"/>
          <w:sz w:val="32"/>
          <w:szCs w:val="32"/>
        </w:rPr>
        <w:t>（四）当事人选择采用海外远程视频公证方式申办公证，即视为当事人自愿申办海外远程视频公证，已阅读、理解、知晓、认可本须知中每一项内容，并愿意接受相应规则的约束，自行承担由此引发的一切法律责任和后果，免除使馆的一切责任。</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both"/>
        <w:rPr>
          <w:rFonts w:hint="eastAsia" w:ascii="仿宋" w:hAnsi="仿宋" w:eastAsia="仿宋" w:cs="仿宋"/>
          <w:b w:val="0"/>
          <w:i w:val="0"/>
          <w:caps w:val="0"/>
          <w:color w:val="000000"/>
          <w:spacing w:val="0"/>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F395698"/>
    <w:rsid w:val="0DCC1F8F"/>
    <w:rsid w:val="0E394172"/>
    <w:rsid w:val="0F395698"/>
    <w:rsid w:val="1B053740"/>
    <w:rsid w:val="227E6194"/>
    <w:rsid w:val="2A131FF8"/>
    <w:rsid w:val="35123B6C"/>
    <w:rsid w:val="4AA01CFE"/>
    <w:rsid w:val="52C52F32"/>
    <w:rsid w:val="547F2C44"/>
    <w:rsid w:val="75C93C56"/>
    <w:rsid w:val="78FF1CE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2023-05-24T15:40:00Z</dcterms:created>
  <dc:creator>wjb</dc:creator>
  <cp:lastModifiedBy>ShiYongRen</cp:lastModifiedBy>
  <cp:lastPrinted>2023-05-29T07:03:20Z</cp:lastPrinted>
  <dcterms:modified xsi:type="dcterms:W3CDTF">2023-05-29T15:34:32Z</dcterms:modified>
  <dc:title>驻匈牙利使馆海外远程视频公证办证须知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